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AAA4" w14:textId="77777777" w:rsidR="007C0DB3" w:rsidRPr="006A23B4" w:rsidRDefault="007C0DB3" w:rsidP="007C0DB3">
      <w:pPr>
        <w:pStyle w:val="BodyA"/>
        <w:spacing w:after="240"/>
        <w:jc w:val="both"/>
        <w:rPr>
          <w:rFonts w:ascii="Cambria" w:hAnsi="Cambria"/>
        </w:rPr>
      </w:pPr>
      <w:r w:rsidRPr="006A23B4">
        <w:rPr>
          <w:rFonts w:ascii="Cambria" w:hAnsi="Cambria"/>
          <w:lang w:val="mk-MK"/>
        </w:rPr>
        <w:t xml:space="preserve">To: </w:t>
      </w:r>
      <w:r>
        <w:rPr>
          <w:rFonts w:ascii="Cambria" w:hAnsi="Cambria"/>
        </w:rPr>
        <w:tab/>
      </w:r>
      <w:r>
        <w:rPr>
          <w:rFonts w:ascii="Cambria" w:hAnsi="Cambria"/>
        </w:rPr>
        <w:tab/>
      </w:r>
      <w:r w:rsidRPr="006A23B4">
        <w:rPr>
          <w:rFonts w:ascii="Cambria" w:hAnsi="Cambria"/>
        </w:rPr>
        <w:t>Special Rapporteur on the human right to a healthy environment</w:t>
      </w:r>
    </w:p>
    <w:p w14:paraId="5A445208" w14:textId="77777777" w:rsidR="007C0DB3" w:rsidRPr="006A23B4" w:rsidRDefault="007C0DB3" w:rsidP="007C0DB3">
      <w:pPr>
        <w:pStyle w:val="BodyA"/>
        <w:spacing w:after="240"/>
        <w:ind w:left="1440" w:hanging="1440"/>
        <w:jc w:val="both"/>
        <w:rPr>
          <w:rFonts w:ascii="Cambria" w:hAnsi="Cambria"/>
        </w:rPr>
      </w:pPr>
      <w:r w:rsidRPr="006A23B4">
        <w:rPr>
          <w:rFonts w:ascii="Cambria" w:hAnsi="Cambria"/>
          <w:lang w:val="mk-MK"/>
        </w:rPr>
        <w:t>From:</w:t>
      </w:r>
      <w:r>
        <w:rPr>
          <w:rFonts w:ascii="Cambria" w:hAnsi="Cambria"/>
        </w:rPr>
        <w:tab/>
      </w:r>
      <w:r w:rsidRPr="006A23B4">
        <w:rPr>
          <w:rFonts w:ascii="Cambria" w:hAnsi="Cambria"/>
        </w:rPr>
        <w:t>Macedonian Young Lawyers Association (MYLA), headquarters at str. Donbas no. 14/</w:t>
      </w:r>
      <w:r>
        <w:rPr>
          <w:rFonts w:ascii="Cambria" w:hAnsi="Cambria"/>
        </w:rPr>
        <w:t>1-</w:t>
      </w:r>
      <w:r w:rsidRPr="006A23B4">
        <w:rPr>
          <w:rFonts w:ascii="Cambria" w:hAnsi="Cambria"/>
        </w:rPr>
        <w:t xml:space="preserve">6, 1000 Skopje, Republic of North Macedonia, e-mail: </w:t>
      </w:r>
      <w:hyperlink r:id="rId7" w:history="1">
        <w:r w:rsidRPr="00B83A39">
          <w:rPr>
            <w:rStyle w:val="Hyperlink"/>
            <w:rFonts w:ascii="Cambria" w:hAnsi="Cambria"/>
          </w:rPr>
          <w:t>contact@myla.org.mk</w:t>
        </w:r>
      </w:hyperlink>
      <w:r>
        <w:rPr>
          <w:rFonts w:ascii="Cambria" w:hAnsi="Cambria"/>
        </w:rPr>
        <w:t xml:space="preserve"> </w:t>
      </w:r>
    </w:p>
    <w:p w14:paraId="0A0BF1DF" w14:textId="77777777" w:rsidR="007C0DB3" w:rsidRDefault="007C0DB3" w:rsidP="007C0DB3">
      <w:pPr>
        <w:pStyle w:val="BodyA"/>
        <w:spacing w:after="240"/>
        <w:jc w:val="both"/>
        <w:rPr>
          <w:rFonts w:ascii="Cambria" w:hAnsi="Cambria"/>
        </w:rPr>
      </w:pPr>
      <w:r w:rsidRPr="006A23B4">
        <w:rPr>
          <w:rFonts w:ascii="Cambria" w:hAnsi="Cambria"/>
          <w:lang w:val="mk-MK"/>
        </w:rPr>
        <w:t>Subject:</w:t>
      </w:r>
      <w:r>
        <w:rPr>
          <w:rFonts w:ascii="Cambria" w:hAnsi="Cambria"/>
        </w:rPr>
        <w:tab/>
      </w:r>
      <w:r w:rsidRPr="006A23B4">
        <w:rPr>
          <w:rFonts w:ascii="Cambria" w:hAnsi="Cambria"/>
        </w:rPr>
        <w:t>Environmental impact assessments and strategic impact assessments</w:t>
      </w:r>
    </w:p>
    <w:p w14:paraId="074AC03F" w14:textId="77777777" w:rsidR="007C0DB3" w:rsidRDefault="007C0DB3" w:rsidP="007C0DB3">
      <w:pPr>
        <w:pStyle w:val="BodyA"/>
        <w:spacing w:after="240"/>
        <w:jc w:val="both"/>
        <w:rPr>
          <w:rFonts w:ascii="Cambria" w:hAnsi="Cambria"/>
          <w:b/>
          <w:bCs/>
        </w:rPr>
      </w:pPr>
    </w:p>
    <w:p w14:paraId="59BDE842" w14:textId="77777777" w:rsidR="007C0DB3" w:rsidRPr="006A23B4" w:rsidRDefault="007C0DB3" w:rsidP="007C0DB3">
      <w:pPr>
        <w:pStyle w:val="BodyA"/>
        <w:spacing w:after="240"/>
        <w:jc w:val="both"/>
        <w:rPr>
          <w:rFonts w:ascii="Cambria" w:hAnsi="Cambria"/>
          <w:b/>
          <w:bCs/>
        </w:rPr>
      </w:pPr>
      <w:r w:rsidRPr="006A23B4">
        <w:rPr>
          <w:rFonts w:ascii="Cambria" w:hAnsi="Cambria"/>
          <w:b/>
          <w:bCs/>
        </w:rPr>
        <w:t xml:space="preserve">INFORMATION ABOUT THE MACEDONIAN YOUNG LAWYERS ASSOCIATION </w:t>
      </w:r>
    </w:p>
    <w:p w14:paraId="65840EBB" w14:textId="77777777" w:rsidR="007C0DB3" w:rsidRPr="006A23B4" w:rsidRDefault="007C0DB3" w:rsidP="007C0DB3">
      <w:pPr>
        <w:pStyle w:val="BodyA"/>
        <w:spacing w:after="240"/>
        <w:jc w:val="both"/>
        <w:rPr>
          <w:rFonts w:ascii="Cambria" w:hAnsi="Cambria"/>
        </w:rPr>
      </w:pPr>
      <w:r w:rsidRPr="006A23B4">
        <w:rPr>
          <w:rFonts w:ascii="Cambria" w:hAnsi="Cambria"/>
        </w:rPr>
        <w:t>MYLA is a professional organization of lawyers founded in 2003</w:t>
      </w:r>
      <w:r>
        <w:rPr>
          <w:rFonts w:ascii="Cambria" w:hAnsi="Cambria"/>
        </w:rPr>
        <w:t xml:space="preserve"> closely devoted to human rights protection, rule of law, protection and empowerment of disempowered. </w:t>
      </w:r>
      <w:r w:rsidRPr="006A23B4">
        <w:rPr>
          <w:rFonts w:ascii="Cambria" w:hAnsi="Cambria"/>
        </w:rPr>
        <w:t xml:space="preserve">    </w:t>
      </w:r>
    </w:p>
    <w:p w14:paraId="16360536" w14:textId="77777777" w:rsidR="007C0DB3" w:rsidRPr="006A23B4" w:rsidRDefault="007C0DB3" w:rsidP="007C0DB3">
      <w:pPr>
        <w:pStyle w:val="BodyA"/>
        <w:jc w:val="both"/>
        <w:rPr>
          <w:rFonts w:ascii="Cambria" w:hAnsi="Cambria"/>
        </w:rPr>
      </w:pPr>
      <w:r w:rsidRPr="006A23B4">
        <w:rPr>
          <w:rFonts w:ascii="Cambria" w:hAnsi="Cambria"/>
        </w:rPr>
        <w:t xml:space="preserve">MYLA has five key strategic goals for the period 2023 – 2026:   </w:t>
      </w:r>
    </w:p>
    <w:p w14:paraId="3172A3F6" w14:textId="77777777" w:rsidR="007C0DB3" w:rsidRPr="006A23B4" w:rsidRDefault="007C0DB3" w:rsidP="007C0DB3">
      <w:pPr>
        <w:pStyle w:val="BodyA"/>
        <w:numPr>
          <w:ilvl w:val="0"/>
          <w:numId w:val="1"/>
        </w:numPr>
        <w:jc w:val="both"/>
        <w:rPr>
          <w:rFonts w:ascii="Cambria" w:hAnsi="Cambria"/>
        </w:rPr>
      </w:pPr>
      <w:r w:rsidRPr="006A23B4">
        <w:rPr>
          <w:rFonts w:ascii="Cambria" w:hAnsi="Cambria"/>
        </w:rPr>
        <w:t xml:space="preserve">Support legal empowerment of the disempowered;    </w:t>
      </w:r>
    </w:p>
    <w:p w14:paraId="1608E8D0" w14:textId="77777777" w:rsidR="007C0DB3" w:rsidRPr="006A23B4" w:rsidRDefault="007C0DB3" w:rsidP="007C0DB3">
      <w:pPr>
        <w:pStyle w:val="BodyA"/>
        <w:numPr>
          <w:ilvl w:val="0"/>
          <w:numId w:val="1"/>
        </w:numPr>
        <w:jc w:val="both"/>
        <w:rPr>
          <w:rFonts w:ascii="Cambria" w:hAnsi="Cambria"/>
        </w:rPr>
      </w:pPr>
      <w:r w:rsidRPr="006A23B4">
        <w:rPr>
          <w:rFonts w:ascii="Cambria" w:hAnsi="Cambria"/>
        </w:rPr>
        <w:t xml:space="preserve">Protect the rights of refugees and migrants;     </w:t>
      </w:r>
    </w:p>
    <w:p w14:paraId="6ED8423C" w14:textId="77777777" w:rsidR="007C0DB3" w:rsidRPr="006A23B4" w:rsidRDefault="007C0DB3" w:rsidP="007C0DB3">
      <w:pPr>
        <w:pStyle w:val="BodyA"/>
        <w:numPr>
          <w:ilvl w:val="0"/>
          <w:numId w:val="1"/>
        </w:numPr>
        <w:jc w:val="both"/>
        <w:rPr>
          <w:rFonts w:ascii="Cambria" w:hAnsi="Cambria"/>
        </w:rPr>
      </w:pPr>
      <w:r w:rsidRPr="006A23B4">
        <w:rPr>
          <w:rFonts w:ascii="Cambria" w:hAnsi="Cambria"/>
        </w:rPr>
        <w:t xml:space="preserve">Advance rule of law and democracy;    </w:t>
      </w:r>
    </w:p>
    <w:p w14:paraId="7971ED5B" w14:textId="77777777" w:rsidR="007C0DB3" w:rsidRPr="006A23B4" w:rsidRDefault="007C0DB3" w:rsidP="007C0DB3">
      <w:pPr>
        <w:pStyle w:val="BodyA"/>
        <w:numPr>
          <w:ilvl w:val="0"/>
          <w:numId w:val="1"/>
        </w:numPr>
        <w:jc w:val="both"/>
        <w:rPr>
          <w:rFonts w:ascii="Cambria" w:hAnsi="Cambria"/>
        </w:rPr>
      </w:pPr>
      <w:r w:rsidRPr="006A23B4">
        <w:rPr>
          <w:rFonts w:ascii="Cambria" w:hAnsi="Cambria"/>
        </w:rPr>
        <w:t xml:space="preserve">Enhance society resilient to crime and extremism;      </w:t>
      </w:r>
    </w:p>
    <w:p w14:paraId="22ABBC1D" w14:textId="77777777" w:rsidR="007C0DB3" w:rsidRDefault="007C0DB3" w:rsidP="007C0DB3">
      <w:pPr>
        <w:pStyle w:val="BodyA"/>
        <w:numPr>
          <w:ilvl w:val="0"/>
          <w:numId w:val="1"/>
        </w:numPr>
        <w:spacing w:after="240"/>
        <w:jc w:val="both"/>
        <w:rPr>
          <w:rFonts w:ascii="Cambria" w:hAnsi="Cambria"/>
        </w:rPr>
      </w:pPr>
      <w:r w:rsidRPr="006A23B4">
        <w:rPr>
          <w:rFonts w:ascii="Cambria" w:hAnsi="Cambria"/>
        </w:rPr>
        <w:t>Increase the use of legal means in environmental protection.</w:t>
      </w:r>
    </w:p>
    <w:p w14:paraId="315C6859" w14:textId="77777777" w:rsidR="007C0DB3" w:rsidRDefault="007C0DB3" w:rsidP="007C0DB3">
      <w:pPr>
        <w:pStyle w:val="BodyA"/>
        <w:spacing w:after="240"/>
        <w:jc w:val="both"/>
        <w:rPr>
          <w:rFonts w:ascii="Cambria" w:hAnsi="Cambria"/>
          <w:b/>
          <w:bCs/>
        </w:rPr>
      </w:pPr>
      <w:r>
        <w:rPr>
          <w:rFonts w:ascii="Cambria" w:hAnsi="Cambria"/>
          <w:b/>
          <w:bCs/>
        </w:rPr>
        <w:t>INPUT ON ENVIRONMENTAL IMPACT ASSESSMENT (EIA) IN NORTH MACEDONIA</w:t>
      </w:r>
    </w:p>
    <w:p w14:paraId="411BE092" w14:textId="77777777" w:rsidR="007C0DB3" w:rsidRDefault="007C0DB3" w:rsidP="007C0DB3">
      <w:pPr>
        <w:pStyle w:val="BodyA"/>
        <w:spacing w:after="240"/>
        <w:jc w:val="both"/>
        <w:rPr>
          <w:rFonts w:ascii="Cambria" w:hAnsi="Cambria"/>
        </w:rPr>
      </w:pPr>
      <w:r>
        <w:rPr>
          <w:rFonts w:ascii="Cambria" w:hAnsi="Cambria"/>
        </w:rPr>
        <w:t>The assessment of the impact of certain projects over the environment in North Macedonia is regulated in the Law on environment (LE) and respected by-laws. The law establishes two types of assessments 1) environmental reports and 2) EIA. The environmental protection and enjoyment of the right to healthy environment</w:t>
      </w:r>
      <w:r>
        <w:rPr>
          <w:rStyle w:val="FootnoteReference"/>
          <w:rFonts w:ascii="Cambria" w:hAnsi="Cambria"/>
        </w:rPr>
        <w:footnoteReference w:id="1"/>
      </w:r>
      <w:r>
        <w:rPr>
          <w:rFonts w:ascii="Cambria" w:hAnsi="Cambria"/>
        </w:rPr>
        <w:t xml:space="preserve"> is hindered by the existence of the environmental reports which </w:t>
      </w:r>
      <w:r w:rsidRPr="00B9585E">
        <w:rPr>
          <w:rFonts w:ascii="Cambria" w:hAnsi="Cambria"/>
          <w:u w:val="single"/>
        </w:rPr>
        <w:t>don’t require</w:t>
      </w:r>
      <w:r>
        <w:rPr>
          <w:rFonts w:ascii="Cambria" w:hAnsi="Cambria"/>
        </w:rPr>
        <w:t xml:space="preserve"> extensive assessment over possible environmental harm comparing to EIA and are </w:t>
      </w:r>
      <w:r>
        <w:rPr>
          <w:rFonts w:ascii="Cambria" w:hAnsi="Cambria"/>
          <w:i/>
          <w:iCs/>
        </w:rPr>
        <w:t>sui generis</w:t>
      </w:r>
      <w:r>
        <w:rPr>
          <w:rFonts w:ascii="Cambria" w:hAnsi="Cambria"/>
        </w:rPr>
        <w:t xml:space="preserve"> form environmental assessment. Note that these environmental reports and EIA co-exist in Macedonian legal order, causing challenges in in implementing national environmental legislation.</w:t>
      </w:r>
    </w:p>
    <w:p w14:paraId="65830A64" w14:textId="77777777" w:rsidR="007C0DB3" w:rsidRDefault="007C0DB3" w:rsidP="007C0DB3">
      <w:pPr>
        <w:pStyle w:val="BodyA"/>
        <w:spacing w:after="240"/>
        <w:jc w:val="both"/>
        <w:rPr>
          <w:rFonts w:ascii="Cambria" w:hAnsi="Cambria"/>
          <w:b/>
          <w:bCs/>
          <w:i/>
          <w:iCs/>
        </w:rPr>
      </w:pPr>
      <w:r>
        <w:rPr>
          <w:rFonts w:ascii="Cambria" w:hAnsi="Cambria"/>
          <w:b/>
          <w:bCs/>
          <w:i/>
          <w:iCs/>
        </w:rPr>
        <w:t>Environmental reports</w:t>
      </w:r>
      <w:r>
        <w:rPr>
          <w:rStyle w:val="FootnoteReference"/>
          <w:rFonts w:ascii="Cambria" w:hAnsi="Cambria"/>
          <w:b/>
          <w:bCs/>
          <w:i/>
          <w:iCs/>
        </w:rPr>
        <w:footnoteReference w:id="2"/>
      </w:r>
    </w:p>
    <w:p w14:paraId="6F3297DC" w14:textId="77777777" w:rsidR="007C0DB3" w:rsidRDefault="007C0DB3" w:rsidP="007C0DB3">
      <w:pPr>
        <w:pStyle w:val="BodyA"/>
        <w:jc w:val="both"/>
        <w:rPr>
          <w:rFonts w:ascii="Cambria" w:hAnsi="Cambria"/>
        </w:rPr>
      </w:pPr>
      <w:r>
        <w:rPr>
          <w:rFonts w:ascii="Cambria" w:hAnsi="Cambria"/>
        </w:rPr>
        <w:t>Most crucial challenges that prevent proper environmental protection are:</w:t>
      </w:r>
    </w:p>
    <w:p w14:paraId="02F8C498" w14:textId="77777777" w:rsidR="007C0DB3" w:rsidRPr="003851ED" w:rsidRDefault="007C0DB3" w:rsidP="007C0DB3">
      <w:pPr>
        <w:pStyle w:val="BodyA"/>
        <w:numPr>
          <w:ilvl w:val="0"/>
          <w:numId w:val="2"/>
        </w:numPr>
        <w:jc w:val="both"/>
        <w:rPr>
          <w:rFonts w:ascii="Cambria" w:hAnsi="Cambria"/>
          <w:lang w:val="mk-MK"/>
        </w:rPr>
      </w:pPr>
      <w:r>
        <w:rPr>
          <w:rFonts w:ascii="Cambria" w:hAnsi="Cambria"/>
        </w:rPr>
        <w:t xml:space="preserve">The LE doesn’t set any requirements related to who can prepare these environmental reports. </w:t>
      </w:r>
      <w:r w:rsidRPr="00156949">
        <w:rPr>
          <w:rFonts w:ascii="Cambria" w:hAnsi="Cambria"/>
          <w:u w:val="single"/>
        </w:rPr>
        <w:t>This cause</w:t>
      </w:r>
      <w:r>
        <w:rPr>
          <w:rFonts w:ascii="Cambria" w:hAnsi="Cambria"/>
          <w:u w:val="single"/>
        </w:rPr>
        <w:t>s</w:t>
      </w:r>
      <w:r w:rsidRPr="00156949">
        <w:rPr>
          <w:rFonts w:ascii="Cambria" w:hAnsi="Cambria"/>
          <w:u w:val="single"/>
        </w:rPr>
        <w:t xml:space="preserve"> situation</w:t>
      </w:r>
      <w:r>
        <w:rPr>
          <w:rFonts w:ascii="Cambria" w:hAnsi="Cambria"/>
          <w:u w:val="single"/>
        </w:rPr>
        <w:t>s</w:t>
      </w:r>
      <w:r w:rsidRPr="00156949">
        <w:rPr>
          <w:rFonts w:ascii="Cambria" w:hAnsi="Cambria"/>
          <w:u w:val="single"/>
        </w:rPr>
        <w:t xml:space="preserve"> where the environmental report is prepared by a person without any proper education.</w:t>
      </w:r>
      <w:r>
        <w:rPr>
          <w:rFonts w:ascii="Cambria" w:hAnsi="Cambria"/>
        </w:rPr>
        <w:t xml:space="preserve"> </w:t>
      </w:r>
    </w:p>
    <w:p w14:paraId="1C9A9D77" w14:textId="77777777" w:rsidR="007C0DB3" w:rsidRPr="003851ED" w:rsidRDefault="007C0DB3" w:rsidP="007C0DB3">
      <w:pPr>
        <w:pStyle w:val="BodyA"/>
        <w:numPr>
          <w:ilvl w:val="0"/>
          <w:numId w:val="2"/>
        </w:numPr>
        <w:jc w:val="both"/>
        <w:rPr>
          <w:rFonts w:ascii="Cambria" w:hAnsi="Cambria"/>
          <w:lang w:val="mk-MK"/>
        </w:rPr>
      </w:pPr>
      <w:r>
        <w:rPr>
          <w:rFonts w:ascii="Cambria" w:hAnsi="Cambria"/>
        </w:rPr>
        <w:t xml:space="preserve">The LE doesn’t set any requirements for public participation in the process of drafting the environmental report, or its approval. </w:t>
      </w:r>
      <w:r w:rsidRPr="00156949">
        <w:rPr>
          <w:rFonts w:ascii="Cambria" w:hAnsi="Cambria"/>
          <w:u w:val="single"/>
        </w:rPr>
        <w:t xml:space="preserve">This leads to situations where local communities are not aware of the plan to implement certain activity, are not consulted in any way, nor can the public </w:t>
      </w:r>
      <w:proofErr w:type="gramStart"/>
      <w:r w:rsidRPr="00156949">
        <w:rPr>
          <w:rFonts w:ascii="Cambria" w:hAnsi="Cambria"/>
          <w:u w:val="single"/>
        </w:rPr>
        <w:t>concerned</w:t>
      </w:r>
      <w:proofErr w:type="gramEnd"/>
      <w:r w:rsidRPr="00156949">
        <w:rPr>
          <w:rFonts w:ascii="Cambria" w:hAnsi="Cambria"/>
          <w:u w:val="single"/>
        </w:rPr>
        <w:t xml:space="preserve"> (including environmental CSOs) comment on any inconsistencies or challenges related to the content of the environmental report.</w:t>
      </w:r>
    </w:p>
    <w:p w14:paraId="72979215" w14:textId="77777777" w:rsidR="007C0DB3" w:rsidRPr="004923A8" w:rsidRDefault="007C0DB3" w:rsidP="007C0DB3">
      <w:pPr>
        <w:pStyle w:val="BodyA"/>
        <w:numPr>
          <w:ilvl w:val="0"/>
          <w:numId w:val="2"/>
        </w:numPr>
        <w:jc w:val="both"/>
        <w:rPr>
          <w:rFonts w:ascii="Cambria" w:hAnsi="Cambria"/>
          <w:lang w:val="mk-MK"/>
        </w:rPr>
      </w:pPr>
      <w:r>
        <w:rPr>
          <w:rFonts w:ascii="Cambria" w:hAnsi="Cambria"/>
        </w:rPr>
        <w:t xml:space="preserve">The LE doesn’t set any requirements for proactive publication of the environmental reports or any information related to the process of its preparing or approving. </w:t>
      </w:r>
      <w:r w:rsidRPr="00E45B64">
        <w:rPr>
          <w:rFonts w:ascii="Cambria" w:hAnsi="Cambria"/>
          <w:u w:val="single"/>
        </w:rPr>
        <w:t xml:space="preserve">This leads to the public and the public concerned not being informed at all and thus being prevented to act accordingly. </w:t>
      </w:r>
    </w:p>
    <w:p w14:paraId="3BCC14C8" w14:textId="77777777" w:rsidR="007C0DB3" w:rsidRPr="00156949" w:rsidRDefault="007C0DB3" w:rsidP="007C0DB3">
      <w:pPr>
        <w:pStyle w:val="BodyA"/>
        <w:numPr>
          <w:ilvl w:val="0"/>
          <w:numId w:val="2"/>
        </w:numPr>
        <w:jc w:val="both"/>
        <w:rPr>
          <w:rFonts w:ascii="Cambria" w:hAnsi="Cambria"/>
          <w:lang w:val="mk-MK"/>
        </w:rPr>
      </w:pPr>
      <w:r>
        <w:rPr>
          <w:rFonts w:ascii="Cambria" w:hAnsi="Cambria"/>
        </w:rPr>
        <w:t xml:space="preserve">The LE doesn’t set any access to justice for the public concerned. </w:t>
      </w:r>
      <w:r>
        <w:rPr>
          <w:rFonts w:ascii="Cambria" w:hAnsi="Cambria"/>
          <w:u w:val="single"/>
        </w:rPr>
        <w:t xml:space="preserve">This prevents the public and the public concerned to undertake any legal mechanism that would challenge the procedural and/or substantial legality of the report and its content. </w:t>
      </w:r>
    </w:p>
    <w:p w14:paraId="1F461EE4" w14:textId="77777777" w:rsidR="007C0DB3" w:rsidRPr="00E45B64" w:rsidRDefault="007C0DB3" w:rsidP="007C0DB3">
      <w:pPr>
        <w:pStyle w:val="BodyA"/>
        <w:numPr>
          <w:ilvl w:val="0"/>
          <w:numId w:val="2"/>
        </w:numPr>
        <w:jc w:val="both"/>
        <w:rPr>
          <w:rFonts w:ascii="Cambria" w:hAnsi="Cambria"/>
          <w:lang w:val="mk-MK"/>
        </w:rPr>
      </w:pPr>
      <w:r>
        <w:rPr>
          <w:rFonts w:ascii="Cambria" w:hAnsi="Cambria"/>
        </w:rPr>
        <w:lastRenderedPageBreak/>
        <w:t xml:space="preserve">There is conflict and contradiction between bylaws determining the types of activities for which EIA should be performed and the types of activities for which preparation of an environmental report is mandatory. </w:t>
      </w:r>
      <w:r>
        <w:rPr>
          <w:rFonts w:ascii="Cambria" w:hAnsi="Cambria"/>
          <w:u w:val="single"/>
        </w:rPr>
        <w:t>This leads to cases where for a specific project an environmental report is prepared without proper EIA screening, just because it is defined as a project for which environmental report is mandatory, which ultimately affects environmental protection and the right to a healthy environment.</w:t>
      </w:r>
    </w:p>
    <w:p w14:paraId="601BC953" w14:textId="77777777" w:rsidR="007C0DB3" w:rsidRPr="00156949" w:rsidRDefault="007C0DB3" w:rsidP="007C0DB3">
      <w:pPr>
        <w:pStyle w:val="BodyA"/>
        <w:numPr>
          <w:ilvl w:val="0"/>
          <w:numId w:val="2"/>
        </w:numPr>
        <w:jc w:val="both"/>
        <w:rPr>
          <w:rFonts w:ascii="Cambria" w:hAnsi="Cambria"/>
          <w:lang w:val="mk-MK"/>
        </w:rPr>
      </w:pPr>
      <w:r>
        <w:rPr>
          <w:rFonts w:ascii="Cambria" w:hAnsi="Cambria"/>
        </w:rPr>
        <w:t xml:space="preserve">The LE and the respected bylaws don’t require that impact over the state of soil, protected areas, climate or human health must be assessed in the environmental report, nor any cumulative impact. </w:t>
      </w:r>
      <w:r>
        <w:rPr>
          <w:rFonts w:ascii="Cambria" w:hAnsi="Cambria"/>
          <w:u w:val="single"/>
        </w:rPr>
        <w:t>This hinders proper environmental protection and enjoyment of the right to a healthy environment.</w:t>
      </w:r>
    </w:p>
    <w:p w14:paraId="25074D58" w14:textId="77777777" w:rsidR="007C0DB3" w:rsidRPr="00E45B64" w:rsidRDefault="007C0DB3" w:rsidP="007C0DB3">
      <w:pPr>
        <w:pStyle w:val="BodyA"/>
        <w:numPr>
          <w:ilvl w:val="0"/>
          <w:numId w:val="2"/>
        </w:numPr>
        <w:spacing w:after="240"/>
        <w:jc w:val="both"/>
        <w:rPr>
          <w:rFonts w:ascii="Cambria" w:hAnsi="Cambria"/>
          <w:lang w:val="mk-MK"/>
        </w:rPr>
      </w:pPr>
      <w:r>
        <w:rPr>
          <w:rFonts w:ascii="Cambria" w:hAnsi="Cambria"/>
        </w:rPr>
        <w:t>The LE or respected bylaws don’t regulate in details the procedure for preparing the environmental reports, for example field visits, leading to environmental reports based only on outdated documents.</w:t>
      </w:r>
      <w:r>
        <w:rPr>
          <w:rStyle w:val="FootnoteReference"/>
          <w:rFonts w:ascii="Cambria" w:hAnsi="Cambria"/>
        </w:rPr>
        <w:footnoteReference w:id="3"/>
      </w:r>
      <w:r>
        <w:rPr>
          <w:rFonts w:ascii="Cambria" w:hAnsi="Cambria"/>
        </w:rPr>
        <w:t xml:space="preserve"> </w:t>
      </w:r>
      <w:r>
        <w:rPr>
          <w:rFonts w:ascii="Cambria" w:hAnsi="Cambria"/>
          <w:u w:val="single"/>
        </w:rPr>
        <w:t>This leads to environmental reports that don’t assess every impact over the environment, thus not envision appropriate environmental protection measures.</w:t>
      </w:r>
    </w:p>
    <w:p w14:paraId="242EFACB" w14:textId="77777777" w:rsidR="007C0DB3" w:rsidRDefault="007C0DB3" w:rsidP="007C0DB3">
      <w:pPr>
        <w:pStyle w:val="BodyA"/>
        <w:spacing w:after="240"/>
        <w:jc w:val="both"/>
        <w:rPr>
          <w:rFonts w:ascii="Cambria" w:hAnsi="Cambria"/>
        </w:rPr>
      </w:pPr>
      <w:r>
        <w:rPr>
          <w:rFonts w:ascii="Cambria" w:hAnsi="Cambria"/>
        </w:rPr>
        <w:t>For projects where it was determined that EIA shouldn’t be performed, environmental report should be prepared and approved by the Ministry of Environment and Physical Planning (</w:t>
      </w:r>
      <w:proofErr w:type="spellStart"/>
      <w:r>
        <w:rPr>
          <w:rFonts w:ascii="Cambria" w:hAnsi="Cambria"/>
        </w:rPr>
        <w:t>MoEPP</w:t>
      </w:r>
      <w:proofErr w:type="spellEnd"/>
      <w:r>
        <w:rPr>
          <w:rFonts w:ascii="Cambria" w:hAnsi="Cambria"/>
        </w:rPr>
        <w:t>) or the municipality where the project would be implemented. Specific ordinance adopted by the Government specifies the types of projects for which this environmental report is mandatory as well as the governing institution which approves it.</w:t>
      </w:r>
      <w:r>
        <w:rPr>
          <w:rStyle w:val="FootnoteReference"/>
          <w:rFonts w:ascii="Cambria" w:hAnsi="Cambria"/>
        </w:rPr>
        <w:footnoteReference w:id="4"/>
      </w:r>
      <w:r>
        <w:rPr>
          <w:rFonts w:ascii="Cambria" w:hAnsi="Cambria"/>
        </w:rPr>
        <w:t xml:space="preserve"> It is worth noting that different ordinance, adopted by the Government, specifies the types of projects where EIA is mandatory as well as types of projects for which the applicability of EIA is decided on a case-to-case basis. Having this in mind, </w:t>
      </w:r>
      <w:r w:rsidRPr="00B46FAE">
        <w:rPr>
          <w:rFonts w:ascii="Cambria" w:hAnsi="Cambria"/>
          <w:u w:val="single"/>
        </w:rPr>
        <w:t>MYLA noted contradiction between these different ordinances which causes legal uncertainty and undermines environmental protection and the right to a healthy environment</w:t>
      </w:r>
      <w:r>
        <w:rPr>
          <w:rFonts w:ascii="Cambria" w:hAnsi="Cambria"/>
        </w:rPr>
        <w:t>. For example, construction of highways is a project for which EIA is mandatory, however the it’s also specified as a project for which environmental report is mandatory.</w:t>
      </w:r>
      <w:r>
        <w:rPr>
          <w:rStyle w:val="FootnoteReference"/>
          <w:rFonts w:ascii="Cambria" w:hAnsi="Cambria"/>
        </w:rPr>
        <w:footnoteReference w:id="5"/>
      </w:r>
      <w:r>
        <w:rPr>
          <w:rFonts w:ascii="Cambria" w:hAnsi="Cambria"/>
        </w:rPr>
        <w:t xml:space="preserve"> In another case an environmental report was approved by the </w:t>
      </w:r>
      <w:proofErr w:type="spellStart"/>
      <w:r>
        <w:rPr>
          <w:rFonts w:ascii="Cambria" w:hAnsi="Cambria"/>
        </w:rPr>
        <w:t>MoEPP</w:t>
      </w:r>
      <w:proofErr w:type="spellEnd"/>
      <w:r>
        <w:rPr>
          <w:rFonts w:ascii="Cambria" w:hAnsi="Cambria"/>
        </w:rPr>
        <w:t xml:space="preserve"> without any proper EIA screening procedure for the construction of a small hotel located in the UNESCO’s protected </w:t>
      </w:r>
      <w:proofErr w:type="spellStart"/>
      <w:r>
        <w:rPr>
          <w:rFonts w:ascii="Cambria" w:hAnsi="Cambria"/>
        </w:rPr>
        <w:t>Ohrid</w:t>
      </w:r>
      <w:proofErr w:type="spellEnd"/>
      <w:r>
        <w:rPr>
          <w:rFonts w:ascii="Cambria" w:hAnsi="Cambria"/>
        </w:rPr>
        <w:t xml:space="preserve"> region and near an area for which procedure for protecting it under the Law on Nature Protection is ongoing, just because these types of projects are defined as projects for which environmental reports are mandatory. </w:t>
      </w:r>
    </w:p>
    <w:p w14:paraId="3957FEB6" w14:textId="77777777" w:rsidR="007C0DB3" w:rsidRDefault="007C0DB3" w:rsidP="007C0DB3">
      <w:pPr>
        <w:pStyle w:val="BodyA"/>
        <w:spacing w:after="240"/>
        <w:jc w:val="both"/>
        <w:rPr>
          <w:rFonts w:ascii="Cambria" w:hAnsi="Cambria"/>
        </w:rPr>
      </w:pPr>
      <w:r>
        <w:rPr>
          <w:rFonts w:ascii="Cambria" w:hAnsi="Cambria"/>
        </w:rPr>
        <w:t xml:space="preserve">Further challenge is the </w:t>
      </w:r>
      <w:r w:rsidRPr="00B46FAE">
        <w:rPr>
          <w:rFonts w:ascii="Cambria" w:hAnsi="Cambria"/>
          <w:u w:val="single"/>
        </w:rPr>
        <w:t>determination the specific ordinances make of projects for which environmental reports are mandatory instead of EIA</w:t>
      </w:r>
      <w:r>
        <w:rPr>
          <w:rFonts w:ascii="Cambria" w:hAnsi="Cambria"/>
        </w:rPr>
        <w:t xml:space="preserve">. For example, although small hydropower plants (SHPP) cause severe damage to the environment and affects people’s access to </w:t>
      </w:r>
      <w:proofErr w:type="spellStart"/>
      <w:r>
        <w:rPr>
          <w:rFonts w:ascii="Cambria" w:hAnsi="Cambria"/>
        </w:rPr>
        <w:t>dinking</w:t>
      </w:r>
      <w:proofErr w:type="spellEnd"/>
      <w:r>
        <w:rPr>
          <w:rFonts w:ascii="Cambria" w:hAnsi="Cambria"/>
        </w:rPr>
        <w:t xml:space="preserve"> water or irrigation water, they are specified as a project for which only environmental report is mandatory. This leads to cases where SHPP are approved on rivers used for drinking water, </w:t>
      </w:r>
      <w:r w:rsidRPr="00B46FAE">
        <w:rPr>
          <w:rFonts w:ascii="Cambria" w:hAnsi="Cambria"/>
          <w:u w:val="single"/>
        </w:rPr>
        <w:t xml:space="preserve">while the local population are neither informed nor consulted in the assessment of how the SHPP project will affect the local </w:t>
      </w:r>
      <w:r w:rsidRPr="00B46FAE">
        <w:rPr>
          <w:rFonts w:ascii="Cambria" w:hAnsi="Cambria"/>
          <w:u w:val="single"/>
        </w:rPr>
        <w:lastRenderedPageBreak/>
        <w:t>population’s access to drinking water, while that aspect is also missing in the environmental report itself.</w:t>
      </w:r>
      <w:r>
        <w:rPr>
          <w:rStyle w:val="FootnoteReference"/>
          <w:rFonts w:ascii="Cambria" w:hAnsi="Cambria"/>
        </w:rPr>
        <w:footnoteReference w:id="6"/>
      </w:r>
    </w:p>
    <w:p w14:paraId="7FD35219" w14:textId="77777777" w:rsidR="007C0DB3" w:rsidRPr="00B46FAE" w:rsidRDefault="007C0DB3" w:rsidP="007C0DB3">
      <w:pPr>
        <w:pStyle w:val="BodyA"/>
        <w:spacing w:after="240"/>
        <w:jc w:val="both"/>
        <w:rPr>
          <w:rFonts w:ascii="Cambria" w:hAnsi="Cambria"/>
          <w:b/>
          <w:bCs/>
          <w:i/>
          <w:iCs/>
        </w:rPr>
      </w:pPr>
      <w:r w:rsidRPr="00B46FAE">
        <w:rPr>
          <w:rFonts w:ascii="Cambria" w:hAnsi="Cambria"/>
          <w:b/>
          <w:bCs/>
          <w:i/>
          <w:iCs/>
        </w:rPr>
        <w:t>Environmental Impact Assessment (EIA)</w:t>
      </w:r>
      <w:r w:rsidRPr="00B46FAE">
        <w:rPr>
          <w:rStyle w:val="HeaderFooter"/>
          <w:rFonts w:ascii="Cambria" w:hAnsi="Cambria"/>
          <w:b/>
          <w:bCs/>
        </w:rPr>
        <w:t xml:space="preserve"> </w:t>
      </w:r>
      <w:r w:rsidRPr="00B46FAE">
        <w:rPr>
          <w:rStyle w:val="FootnoteReference"/>
          <w:rFonts w:ascii="Cambria" w:hAnsi="Cambria"/>
          <w:b/>
          <w:bCs/>
        </w:rPr>
        <w:footnoteReference w:id="7"/>
      </w:r>
    </w:p>
    <w:p w14:paraId="69017BF2" w14:textId="77777777" w:rsidR="007C0DB3" w:rsidRDefault="007C0DB3" w:rsidP="007C0DB3">
      <w:pPr>
        <w:pStyle w:val="BodyA"/>
        <w:spacing w:after="240"/>
        <w:jc w:val="both"/>
        <w:rPr>
          <w:rFonts w:ascii="Cambria" w:hAnsi="Cambria"/>
        </w:rPr>
      </w:pPr>
      <w:r>
        <w:rPr>
          <w:rFonts w:ascii="Cambria" w:hAnsi="Cambria"/>
        </w:rPr>
        <w:t xml:space="preserve">Projects for which EIA is mandatory or for which the performing of EIA is decided on a case-to-case basis are defined in a specific ordinance adopted by the Government. As mentioned above, the first challenge when it comes to implementing EIA comes from </w:t>
      </w:r>
      <w:r w:rsidRPr="00B46FAE">
        <w:rPr>
          <w:rFonts w:ascii="Cambria" w:hAnsi="Cambria"/>
          <w:u w:val="single"/>
        </w:rPr>
        <w:t>conflict and contradiction of this ordinance with the ones related to the environmental reports</w:t>
      </w:r>
      <w:r>
        <w:rPr>
          <w:rFonts w:ascii="Cambria" w:hAnsi="Cambria"/>
        </w:rPr>
        <w:t>.</w:t>
      </w:r>
    </w:p>
    <w:p w14:paraId="78FCDE48" w14:textId="77777777" w:rsidR="007C0DB3" w:rsidRDefault="007C0DB3" w:rsidP="007C0DB3">
      <w:pPr>
        <w:pStyle w:val="BodyA"/>
        <w:spacing w:after="240"/>
        <w:jc w:val="both"/>
        <w:rPr>
          <w:rFonts w:ascii="Cambria" w:hAnsi="Cambria"/>
        </w:rPr>
      </w:pPr>
      <w:r>
        <w:rPr>
          <w:rFonts w:ascii="Cambria" w:hAnsi="Cambria"/>
        </w:rPr>
        <w:t xml:space="preserve">The Law on environment specifies that EIA should be performed taking into consideration impacts over the 1) people and biodiversity, 2) soil, water, air and other natural resources as well as climate, 3) historic and cultural heritage and 4) the interaction between the factors 1-3. The Rulebook related to the content of the EIA study </w:t>
      </w:r>
      <w:r w:rsidRPr="00B46FAE">
        <w:rPr>
          <w:rFonts w:ascii="Cambria" w:hAnsi="Cambria"/>
          <w:u w:val="single"/>
        </w:rPr>
        <w:t>doesn’t explicitly require that impacts over the human health, climate, biodiversity or soil should be assessed</w:t>
      </w:r>
      <w:r>
        <w:rPr>
          <w:rFonts w:ascii="Cambria" w:hAnsi="Cambria"/>
        </w:rPr>
        <w:t xml:space="preserve">. It however sets as a very broad requirement that the study “should have a description and information needed for evaluating the bigger impacts of the project over the environment, description of the measures for preventing, decreasing and eliminating the impact over the environment and description of the impact of the project over the environment taking into consideration the development of the science and the accepted evaluation methods”. </w:t>
      </w:r>
      <w:r w:rsidRPr="004A3B1F">
        <w:rPr>
          <w:rFonts w:ascii="Cambria" w:hAnsi="Cambria"/>
          <w:u w:val="single"/>
        </w:rPr>
        <w:t>This leads to situation where for example impacts over human health or climate are not assessed in some EIA studies.</w:t>
      </w:r>
      <w:r>
        <w:rPr>
          <w:rFonts w:ascii="Cambria" w:hAnsi="Cambria"/>
        </w:rPr>
        <w:t xml:space="preserve"> </w:t>
      </w:r>
    </w:p>
    <w:p w14:paraId="17E87B87" w14:textId="77777777" w:rsidR="007C0DB3" w:rsidRDefault="007C0DB3" w:rsidP="007C0DB3">
      <w:pPr>
        <w:pStyle w:val="BodyA"/>
        <w:spacing w:after="240"/>
        <w:jc w:val="both"/>
        <w:rPr>
          <w:rFonts w:ascii="Cambria" w:hAnsi="Cambria"/>
        </w:rPr>
      </w:pPr>
      <w:r w:rsidRPr="00B46FAE">
        <w:rPr>
          <w:rFonts w:ascii="Cambria" w:hAnsi="Cambria"/>
          <w:u w:val="single"/>
        </w:rPr>
        <w:t>Neither the Law on environment nor any respected bylaw explicitly regulate that cumulative impacts should be assessed in the EIA study</w:t>
      </w:r>
      <w:r>
        <w:rPr>
          <w:rFonts w:ascii="Cambria" w:hAnsi="Cambria"/>
        </w:rPr>
        <w:t xml:space="preserve">, but specify that EIA is performed based on the “direct and indirect impact over the environment from the implementation or not implementation of the project”. Although the term “indirect impact” can be interpreted in a way that cumulative impact of other planned projects or project which are in construction or already operate, should be part of the EIA study and procedure, </w:t>
      </w:r>
      <w:r w:rsidRPr="00553A81">
        <w:rPr>
          <w:rFonts w:ascii="Cambria" w:hAnsi="Cambria"/>
          <w:u w:val="single"/>
        </w:rPr>
        <w:t>the EIA studies almost never do proper or any assessment of the cumulative impact over the environment</w:t>
      </w:r>
      <w:r>
        <w:rPr>
          <w:rFonts w:ascii="Cambria" w:hAnsi="Cambria"/>
        </w:rPr>
        <w:t xml:space="preserve">. </w:t>
      </w:r>
    </w:p>
    <w:p w14:paraId="4CD797D3" w14:textId="77777777" w:rsidR="007C0DB3" w:rsidRDefault="007C0DB3" w:rsidP="007C0DB3">
      <w:pPr>
        <w:pStyle w:val="BodyA"/>
        <w:spacing w:after="240"/>
        <w:jc w:val="both"/>
        <w:rPr>
          <w:rFonts w:ascii="Cambria" w:hAnsi="Cambria"/>
        </w:rPr>
      </w:pPr>
      <w:r>
        <w:rPr>
          <w:rFonts w:ascii="Cambria" w:hAnsi="Cambria"/>
        </w:rPr>
        <w:t xml:space="preserve">The Law on environment specifies that notification letter should be submitted to the </w:t>
      </w:r>
      <w:proofErr w:type="spellStart"/>
      <w:r>
        <w:rPr>
          <w:rFonts w:ascii="Cambria" w:hAnsi="Cambria"/>
        </w:rPr>
        <w:t>MoEPP</w:t>
      </w:r>
      <w:proofErr w:type="spellEnd"/>
      <w:r>
        <w:rPr>
          <w:rFonts w:ascii="Cambria" w:hAnsi="Cambria"/>
        </w:rPr>
        <w:t xml:space="preserve"> elaborating on the basic information and impacts of the planned project over the environment including the investor’s assessment whether EIA should be performed, after which </w:t>
      </w:r>
      <w:proofErr w:type="spellStart"/>
      <w:r>
        <w:rPr>
          <w:rFonts w:ascii="Cambria" w:hAnsi="Cambria"/>
        </w:rPr>
        <w:t>MoEPP</w:t>
      </w:r>
      <w:proofErr w:type="spellEnd"/>
      <w:r>
        <w:rPr>
          <w:rFonts w:ascii="Cambria" w:hAnsi="Cambria"/>
        </w:rPr>
        <w:t xml:space="preserve"> should adopt a decision on whether EIA should be performed and determine its scope. The Law on environment envisions a mandatory consultative process between the </w:t>
      </w:r>
      <w:proofErr w:type="spellStart"/>
      <w:r>
        <w:rPr>
          <w:rFonts w:ascii="Cambria" w:hAnsi="Cambria"/>
        </w:rPr>
        <w:t>MoEPP</w:t>
      </w:r>
      <w:proofErr w:type="spellEnd"/>
      <w:r>
        <w:rPr>
          <w:rFonts w:ascii="Cambria" w:hAnsi="Cambria"/>
        </w:rPr>
        <w:t xml:space="preserve"> and state institutions (relevant ministries, agencies, municipalities and/or other state bodies) in the scoping stage, however </w:t>
      </w:r>
      <w:r w:rsidRPr="00364525">
        <w:rPr>
          <w:rFonts w:ascii="Cambria" w:hAnsi="Cambria"/>
          <w:u w:val="single"/>
        </w:rPr>
        <w:t>it doesn’t envision any consultative processes with the public or the public concerned.</w:t>
      </w:r>
      <w:r>
        <w:rPr>
          <w:rFonts w:ascii="Cambria" w:hAnsi="Cambria"/>
        </w:rPr>
        <w:t xml:space="preserve"> </w:t>
      </w:r>
    </w:p>
    <w:p w14:paraId="05E852D2" w14:textId="77777777" w:rsidR="007C0DB3" w:rsidRDefault="007C0DB3" w:rsidP="007C0DB3">
      <w:pPr>
        <w:pStyle w:val="BodyA"/>
        <w:spacing w:after="240"/>
        <w:jc w:val="both"/>
        <w:rPr>
          <w:rFonts w:ascii="Cambria" w:hAnsi="Cambria"/>
          <w:u w:val="single"/>
        </w:rPr>
      </w:pPr>
      <w:r>
        <w:rPr>
          <w:rFonts w:ascii="Cambria" w:hAnsi="Cambria"/>
        </w:rPr>
        <w:t xml:space="preserve">It is mandatory that </w:t>
      </w:r>
      <w:proofErr w:type="spellStart"/>
      <w:r>
        <w:rPr>
          <w:rFonts w:ascii="Cambria" w:hAnsi="Cambria"/>
        </w:rPr>
        <w:t>MoEPP</w:t>
      </w:r>
      <w:proofErr w:type="spellEnd"/>
      <w:r>
        <w:rPr>
          <w:rFonts w:ascii="Cambria" w:hAnsi="Cambria"/>
        </w:rPr>
        <w:t xml:space="preserve"> publishes the notification letter, the opinion on the scope of the EIA study (comments from the consultative process with the state institutions should be taken into consideration) and the decisions on the need to perform EIA and its scope, while the public concerned can appeal the decisions within 15 days from the day of their publication. </w:t>
      </w:r>
      <w:r>
        <w:rPr>
          <w:rFonts w:ascii="Cambria" w:hAnsi="Cambria"/>
          <w:u w:val="single"/>
        </w:rPr>
        <w:t>Although the Law provides access to legal mechanism for the public concerned, the above-mentioned documents are not published promptly, there aren’t notifications when an EIA document is published</w:t>
      </w:r>
      <w:r>
        <w:rPr>
          <w:rStyle w:val="FootnoteReference"/>
          <w:rFonts w:ascii="Cambria" w:hAnsi="Cambria"/>
          <w:u w:val="single"/>
        </w:rPr>
        <w:footnoteReference w:id="8"/>
      </w:r>
      <w:r>
        <w:rPr>
          <w:rFonts w:ascii="Cambria" w:hAnsi="Cambria"/>
          <w:u w:val="single"/>
        </w:rPr>
        <w:t xml:space="preserve"> nor are there clear dates shown on </w:t>
      </w:r>
      <w:proofErr w:type="spellStart"/>
      <w:r>
        <w:rPr>
          <w:rFonts w:ascii="Cambria" w:hAnsi="Cambria"/>
          <w:u w:val="single"/>
        </w:rPr>
        <w:t>MoEPP’s</w:t>
      </w:r>
      <w:proofErr w:type="spellEnd"/>
      <w:r>
        <w:rPr>
          <w:rFonts w:ascii="Cambria" w:hAnsi="Cambria"/>
          <w:u w:val="single"/>
        </w:rPr>
        <w:t xml:space="preserve"> website stating when exactly has the document been published, which hinders the access to legal mechanisms and its effectiveness. In the cases where </w:t>
      </w:r>
      <w:proofErr w:type="spellStart"/>
      <w:r>
        <w:rPr>
          <w:rFonts w:ascii="Cambria" w:hAnsi="Cambria"/>
          <w:u w:val="single"/>
        </w:rPr>
        <w:t>MoEPP</w:t>
      </w:r>
      <w:proofErr w:type="spellEnd"/>
      <w:r>
        <w:rPr>
          <w:rFonts w:ascii="Cambria" w:hAnsi="Cambria"/>
          <w:u w:val="single"/>
        </w:rPr>
        <w:t xml:space="preserve"> decides with one decision on the need for performing EIA and its scope, it is regulated that the opinion on the scope of the EIA should be an </w:t>
      </w:r>
      <w:r>
        <w:rPr>
          <w:rFonts w:ascii="Cambria" w:hAnsi="Cambria"/>
          <w:u w:val="single"/>
        </w:rPr>
        <w:lastRenderedPageBreak/>
        <w:t>integral part of the decision, however it is never the case, which seriously impacts the ability of the public concerned to substantially challenge the decision.</w:t>
      </w:r>
    </w:p>
    <w:p w14:paraId="3CBDFB9C" w14:textId="77777777" w:rsidR="007C0DB3" w:rsidRDefault="007C0DB3" w:rsidP="007C0DB3">
      <w:pPr>
        <w:pStyle w:val="BodyA"/>
        <w:spacing w:after="240"/>
        <w:jc w:val="both"/>
        <w:rPr>
          <w:rFonts w:ascii="Cambria" w:hAnsi="Cambria"/>
        </w:rPr>
      </w:pPr>
      <w:r>
        <w:rPr>
          <w:rFonts w:ascii="Cambria" w:hAnsi="Cambria"/>
        </w:rPr>
        <w:t xml:space="preserve">The Law on environment regulates that although the preparation of the EIA study is a responsibility of the investor it shall be prepared by an expert which has passed the exam and is certified by the </w:t>
      </w:r>
      <w:proofErr w:type="spellStart"/>
      <w:r>
        <w:rPr>
          <w:rFonts w:ascii="Cambria" w:hAnsi="Cambria"/>
        </w:rPr>
        <w:t>MoEPP</w:t>
      </w:r>
      <w:proofErr w:type="spellEnd"/>
      <w:r>
        <w:rPr>
          <w:rFonts w:ascii="Cambria" w:hAnsi="Cambria"/>
        </w:rPr>
        <w:t xml:space="preserve"> for preparing EIA studies. It further specifies that while </w:t>
      </w:r>
      <w:proofErr w:type="spellStart"/>
      <w:r>
        <w:rPr>
          <w:rFonts w:ascii="Cambria" w:hAnsi="Cambria"/>
        </w:rPr>
        <w:t>MoEPP</w:t>
      </w:r>
      <w:proofErr w:type="spellEnd"/>
      <w:r>
        <w:rPr>
          <w:rFonts w:ascii="Cambria" w:hAnsi="Cambria"/>
        </w:rPr>
        <w:t xml:space="preserve"> is responsible for determining the scope of the EIA and to later assess whether the EIA study meets the legal requirements and is of sufficient quality, it can hire one or more of these experts to perform these tasks. In these cases, it is prohibited that </w:t>
      </w:r>
      <w:proofErr w:type="spellStart"/>
      <w:r>
        <w:rPr>
          <w:rFonts w:ascii="Cambria" w:hAnsi="Cambria"/>
        </w:rPr>
        <w:t>MoEPP</w:t>
      </w:r>
      <w:proofErr w:type="spellEnd"/>
      <w:r>
        <w:rPr>
          <w:rFonts w:ascii="Cambria" w:hAnsi="Cambria"/>
        </w:rPr>
        <w:t xml:space="preserve"> hires the same expert/s which participated in any stage of the EIA proceeding on behalf of the investor, </w:t>
      </w:r>
      <w:r>
        <w:rPr>
          <w:rFonts w:ascii="Cambria" w:hAnsi="Cambria"/>
          <w:u w:val="single"/>
        </w:rPr>
        <w:t xml:space="preserve">however there are no specific rules stipulating which body or institution is responsible to ensure that such conflict of interest is not existing in each specific case or what are the consequences when conflict of interests arises. </w:t>
      </w:r>
    </w:p>
    <w:p w14:paraId="5F6A67C9" w14:textId="77777777" w:rsidR="007C0DB3" w:rsidRPr="00F66BD4" w:rsidRDefault="007C0DB3" w:rsidP="007C0DB3">
      <w:pPr>
        <w:pStyle w:val="BodyA"/>
        <w:spacing w:after="240"/>
        <w:jc w:val="both"/>
        <w:rPr>
          <w:rFonts w:ascii="Cambria" w:hAnsi="Cambria"/>
          <w:u w:val="single"/>
        </w:rPr>
      </w:pPr>
      <w:r>
        <w:rPr>
          <w:rFonts w:ascii="Cambria" w:hAnsi="Cambria"/>
        </w:rPr>
        <w:t xml:space="preserve">The Law on environment envisions mandatory publication of the prepared EIA study after which public consultations start in the form of submitting writing comments to the </w:t>
      </w:r>
      <w:proofErr w:type="spellStart"/>
      <w:r>
        <w:rPr>
          <w:rFonts w:ascii="Cambria" w:hAnsi="Cambria"/>
        </w:rPr>
        <w:t>MoEPP</w:t>
      </w:r>
      <w:proofErr w:type="spellEnd"/>
      <w:r>
        <w:rPr>
          <w:rFonts w:ascii="Cambria" w:hAnsi="Cambria"/>
        </w:rPr>
        <w:t xml:space="preserve"> and a mandatory public hearing. Timely notifications relating to the public consultation process should be published by the </w:t>
      </w:r>
      <w:proofErr w:type="spellStart"/>
      <w:r>
        <w:rPr>
          <w:rFonts w:ascii="Cambria" w:hAnsi="Cambria"/>
        </w:rPr>
        <w:t>MoEPP</w:t>
      </w:r>
      <w:proofErr w:type="spellEnd"/>
      <w:r>
        <w:rPr>
          <w:rFonts w:ascii="Cambria" w:hAnsi="Cambria"/>
        </w:rPr>
        <w:t xml:space="preserve">, </w:t>
      </w:r>
      <w:r>
        <w:rPr>
          <w:rFonts w:ascii="Cambria" w:hAnsi="Cambria"/>
          <w:u w:val="single"/>
        </w:rPr>
        <w:t>however notifications are often not published at all or not published in a timely manner</w:t>
      </w:r>
      <w:r>
        <w:rPr>
          <w:rFonts w:ascii="Cambria" w:hAnsi="Cambria"/>
        </w:rPr>
        <w:t xml:space="preserve"> (for example the notification for a public hearing is published just 1 week or less before </w:t>
      </w:r>
      <w:proofErr w:type="gramStart"/>
      <w:r>
        <w:rPr>
          <w:rFonts w:ascii="Cambria" w:hAnsi="Cambria"/>
        </w:rPr>
        <w:t>its</w:t>
      </w:r>
      <w:proofErr w:type="gramEnd"/>
      <w:r>
        <w:rPr>
          <w:rFonts w:ascii="Cambria" w:hAnsi="Cambria"/>
        </w:rPr>
        <w:t xml:space="preserve"> commence), </w:t>
      </w:r>
      <w:r>
        <w:rPr>
          <w:rFonts w:ascii="Cambria" w:hAnsi="Cambria"/>
          <w:u w:val="single"/>
        </w:rPr>
        <w:t xml:space="preserve">the public hearings are held during working hours and not all of the EIA documents are published which affects the public’s ability to submit well founded comments. Efforts for disseminating the information on the consultative process to the public are lacking in practice, leading in most of the cases to public hearings where representatives from the </w:t>
      </w:r>
      <w:proofErr w:type="spellStart"/>
      <w:r>
        <w:rPr>
          <w:rFonts w:ascii="Cambria" w:hAnsi="Cambria"/>
          <w:u w:val="single"/>
        </w:rPr>
        <w:t>MoEPP</w:t>
      </w:r>
      <w:proofErr w:type="spellEnd"/>
      <w:r>
        <w:rPr>
          <w:rFonts w:ascii="Cambria" w:hAnsi="Cambria"/>
          <w:u w:val="single"/>
        </w:rPr>
        <w:t xml:space="preserve"> and the investor are the only ones or just a few citizens are present at the hearing. Challenges in recording the hearings</w:t>
      </w:r>
      <w:r>
        <w:rPr>
          <w:rFonts w:ascii="Cambria" w:hAnsi="Cambria"/>
        </w:rPr>
        <w:t xml:space="preserve"> (uniform practice for taking the minutes, tone or video recording of the hearings) </w:t>
      </w:r>
      <w:r>
        <w:rPr>
          <w:rFonts w:ascii="Cambria" w:hAnsi="Cambria"/>
          <w:u w:val="single"/>
        </w:rPr>
        <w:t xml:space="preserve">and publication of those records are also very common, which may further impact the effectiveness of legal mechanisms for protecting either the right to public participation of the public concerned, or the protection of environment and the right to a healthy environment in general. </w:t>
      </w:r>
    </w:p>
    <w:p w14:paraId="101C7B3D" w14:textId="77777777" w:rsidR="007C0DB3" w:rsidRDefault="007C0DB3" w:rsidP="007C0DB3">
      <w:pPr>
        <w:pStyle w:val="BodyA"/>
        <w:spacing w:after="240"/>
        <w:jc w:val="both"/>
        <w:rPr>
          <w:rFonts w:ascii="Cambria" w:hAnsi="Cambria"/>
          <w:u w:val="single"/>
        </w:rPr>
      </w:pPr>
      <w:r>
        <w:rPr>
          <w:rFonts w:ascii="Cambria" w:hAnsi="Cambria"/>
        </w:rPr>
        <w:t xml:space="preserve">The Law on environment envisions that the </w:t>
      </w:r>
      <w:proofErr w:type="spellStart"/>
      <w:r>
        <w:rPr>
          <w:rFonts w:ascii="Cambria" w:hAnsi="Cambria"/>
        </w:rPr>
        <w:t>MoEPP</w:t>
      </w:r>
      <w:proofErr w:type="spellEnd"/>
      <w:r>
        <w:rPr>
          <w:rFonts w:ascii="Cambria" w:hAnsi="Cambria"/>
        </w:rPr>
        <w:t xml:space="preserve"> or a certified EIA expert hired by </w:t>
      </w:r>
      <w:proofErr w:type="spellStart"/>
      <w:r>
        <w:rPr>
          <w:rFonts w:ascii="Cambria" w:hAnsi="Cambria"/>
        </w:rPr>
        <w:t>MoEPP</w:t>
      </w:r>
      <w:proofErr w:type="spellEnd"/>
      <w:r>
        <w:rPr>
          <w:rFonts w:ascii="Cambria" w:hAnsi="Cambria"/>
        </w:rPr>
        <w:t xml:space="preserve"> performs assessment of whether the EIA study fulfills the legal and quality standards. </w:t>
      </w:r>
      <w:r>
        <w:rPr>
          <w:rFonts w:ascii="Cambria" w:hAnsi="Cambria"/>
          <w:u w:val="single"/>
        </w:rPr>
        <w:t>It is not clear enough from the legal provisions when does this assessment take place.</w:t>
      </w:r>
      <w:r>
        <w:rPr>
          <w:rStyle w:val="FootnoteReference"/>
          <w:rFonts w:ascii="Cambria" w:hAnsi="Cambria"/>
          <w:u w:val="single"/>
        </w:rPr>
        <w:footnoteReference w:id="9"/>
      </w:r>
      <w:r>
        <w:rPr>
          <w:rFonts w:ascii="Cambria" w:hAnsi="Cambria"/>
          <w:u w:val="single"/>
        </w:rPr>
        <w:t xml:space="preserve"> Although the law specifies that the report on whether the EIA meets the standards should be prepared and published, the publication of this report is very often lacking. </w:t>
      </w:r>
    </w:p>
    <w:p w14:paraId="2FB0983F" w14:textId="77777777" w:rsidR="007C0DB3" w:rsidRDefault="007C0DB3" w:rsidP="007C0DB3">
      <w:pPr>
        <w:pStyle w:val="BodyA"/>
        <w:spacing w:after="240"/>
        <w:jc w:val="both"/>
        <w:rPr>
          <w:rFonts w:ascii="Cambria" w:hAnsi="Cambria"/>
          <w:u w:val="single"/>
        </w:rPr>
      </w:pPr>
      <w:r>
        <w:rPr>
          <w:rFonts w:ascii="Cambria" w:hAnsi="Cambria"/>
        </w:rPr>
        <w:t xml:space="preserve">The outcome of the EIA process should be a decision adopted by the </w:t>
      </w:r>
      <w:proofErr w:type="spellStart"/>
      <w:r>
        <w:rPr>
          <w:rFonts w:ascii="Cambria" w:hAnsi="Cambria"/>
        </w:rPr>
        <w:t>MoEPP</w:t>
      </w:r>
      <w:proofErr w:type="spellEnd"/>
      <w:r>
        <w:rPr>
          <w:rFonts w:ascii="Cambria" w:hAnsi="Cambria"/>
        </w:rPr>
        <w:t xml:space="preserve"> which approves or denies the implementation of the project. The decision must be published while the public concerned can challenge it within 15 days from the day of the publication. </w:t>
      </w:r>
      <w:r>
        <w:rPr>
          <w:rFonts w:ascii="Cambria" w:hAnsi="Cambria"/>
          <w:u w:val="single"/>
        </w:rPr>
        <w:t xml:space="preserve">The decisions are often not published which hinders the access to legal mechanisms and effective protection of the right to public participation, the protection of the environment and the protection of the right to healthy environment. </w:t>
      </w:r>
    </w:p>
    <w:p w14:paraId="24CD6E7F" w14:textId="77777777" w:rsidR="007C0DB3" w:rsidRDefault="007C0DB3" w:rsidP="007C0DB3">
      <w:pPr>
        <w:pStyle w:val="BodyA"/>
        <w:spacing w:after="240"/>
        <w:jc w:val="both"/>
        <w:rPr>
          <w:rFonts w:ascii="Cambria" w:hAnsi="Cambria"/>
        </w:rPr>
      </w:pPr>
      <w:r>
        <w:rPr>
          <w:rFonts w:ascii="Cambria" w:hAnsi="Cambria"/>
        </w:rPr>
        <w:t xml:space="preserve">Other challenges related to the EIA process is that the </w:t>
      </w:r>
      <w:r>
        <w:rPr>
          <w:rFonts w:ascii="Cambria" w:hAnsi="Cambria"/>
          <w:u w:val="single"/>
        </w:rPr>
        <w:t xml:space="preserve">EIA studies have low quality with lack of substantial assessment of all of the environmental impacts and their correlation including cumulative effects due to low funds that investors pay for it, which leads to EIA often being conducted just </w:t>
      </w:r>
      <w:r>
        <w:rPr>
          <w:rFonts w:ascii="Cambria" w:hAnsi="Cambria"/>
          <w:i/>
          <w:iCs/>
          <w:u w:val="single"/>
        </w:rPr>
        <w:t>pro forma</w:t>
      </w:r>
      <w:r>
        <w:rPr>
          <w:rFonts w:ascii="Cambria" w:hAnsi="Cambria"/>
          <w:u w:val="single"/>
        </w:rPr>
        <w:t xml:space="preserve">. </w:t>
      </w:r>
      <w:r>
        <w:rPr>
          <w:rFonts w:ascii="Cambria" w:hAnsi="Cambria"/>
        </w:rPr>
        <w:t xml:space="preserve">MYLA has experienced a case where a construction of a major highway has started without the EIA procedure being completed although a decision stipulating that EIA is mandatory has been adopted by </w:t>
      </w:r>
      <w:proofErr w:type="spellStart"/>
      <w:r>
        <w:rPr>
          <w:rFonts w:ascii="Cambria" w:hAnsi="Cambria"/>
        </w:rPr>
        <w:lastRenderedPageBreak/>
        <w:t>MoEPP</w:t>
      </w:r>
      <w:proofErr w:type="spellEnd"/>
      <w:r>
        <w:rPr>
          <w:rFonts w:ascii="Cambria" w:hAnsi="Cambria"/>
        </w:rPr>
        <w:t xml:space="preserve"> and published. Although MYLA exercised every available legal mechanism, it proved so far to be ineffective to stop the construction without EIA. </w:t>
      </w:r>
    </w:p>
    <w:p w14:paraId="7814CE28" w14:textId="77777777" w:rsidR="007C0DB3" w:rsidRDefault="007C0DB3" w:rsidP="007C0DB3">
      <w:pPr>
        <w:pStyle w:val="BodyA"/>
        <w:spacing w:after="240"/>
        <w:jc w:val="center"/>
        <w:rPr>
          <w:rFonts w:ascii="Cambria" w:hAnsi="Cambria"/>
        </w:rPr>
      </w:pPr>
      <w:r>
        <w:rPr>
          <w:rFonts w:ascii="Cambria" w:hAnsi="Cambria"/>
        </w:rPr>
        <w:t>***</w:t>
      </w:r>
    </w:p>
    <w:p w14:paraId="5135D46F" w14:textId="77777777" w:rsidR="007C0DB3" w:rsidRPr="00581F63" w:rsidRDefault="007C0DB3" w:rsidP="007C0DB3">
      <w:pPr>
        <w:pStyle w:val="BodyA"/>
        <w:spacing w:after="240"/>
        <w:jc w:val="both"/>
        <w:rPr>
          <w:rFonts w:ascii="Cambria" w:hAnsi="Cambria" w:hint="eastAsia"/>
        </w:rPr>
      </w:pPr>
      <w:r w:rsidRPr="00D42CFA">
        <w:rPr>
          <w:rFonts w:ascii="Cambria" w:hAnsi="Cambria"/>
        </w:rPr>
        <w:t xml:space="preserve">Thank you for considering MYLA’s input in the process of preparing the thematic report on the human right to a clean, healthy and sustainable environment. We believe you’ll find MYLA’s input relevant and valuable in the process of drafting the </w:t>
      </w:r>
      <w:r>
        <w:rPr>
          <w:rFonts w:ascii="Cambria" w:hAnsi="Cambria"/>
        </w:rPr>
        <w:t>report</w:t>
      </w:r>
      <w:r w:rsidRPr="00D42CFA">
        <w:rPr>
          <w:rFonts w:ascii="Cambria" w:hAnsi="Cambria"/>
        </w:rPr>
        <w:t>. We are at your disposal for any further comments and/or information you may need.</w:t>
      </w:r>
    </w:p>
    <w:p w14:paraId="19238290" w14:textId="77777777" w:rsidR="007C0DB3" w:rsidRDefault="007C0DB3" w:rsidP="007C0DB3">
      <w:pPr>
        <w:pStyle w:val="BodyA"/>
        <w:rPr>
          <w:rFonts w:hint="eastAsia"/>
        </w:rPr>
      </w:pPr>
    </w:p>
    <w:p w14:paraId="025498CC" w14:textId="77777777" w:rsidR="007C0DB3" w:rsidRDefault="007C0DB3" w:rsidP="007C0DB3">
      <w:pPr>
        <w:pStyle w:val="BodyA"/>
        <w:rPr>
          <w:rFonts w:hint="eastAsia"/>
        </w:rPr>
      </w:pPr>
    </w:p>
    <w:p w14:paraId="7C55F0CC" w14:textId="4AF54DB3" w:rsidR="003B4A7A" w:rsidRPr="007C0DB3" w:rsidRDefault="003B4A7A" w:rsidP="007C0DB3">
      <w:pPr>
        <w:rPr>
          <w:rFonts w:ascii="Cambria" w:hAnsi="Cambria"/>
        </w:rPr>
      </w:pPr>
    </w:p>
    <w:sectPr w:rsidR="003B4A7A" w:rsidRPr="007C0DB3" w:rsidSect="00A15ED4">
      <w:headerReference w:type="default" r:id="rId8"/>
      <w:footerReference w:type="default" r:id="rId9"/>
      <w:pgSz w:w="11900" w:h="16840"/>
      <w:pgMar w:top="1134" w:right="1134" w:bottom="1134" w:left="1134"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1FC7" w14:textId="77777777" w:rsidR="003C2740" w:rsidRDefault="003C2740" w:rsidP="000F44DA">
      <w:r>
        <w:separator/>
      </w:r>
    </w:p>
  </w:endnote>
  <w:endnote w:type="continuationSeparator" w:id="0">
    <w:p w14:paraId="43877154" w14:textId="77777777" w:rsidR="003C2740" w:rsidRDefault="003C2740" w:rsidP="000F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5E0A" w14:textId="1748868A" w:rsidR="004A4807" w:rsidRPr="00DD571C" w:rsidRDefault="00553FC4" w:rsidP="000F44DA">
    <w:pPr>
      <w:pStyle w:val="Footer"/>
      <w:jc w:val="center"/>
      <w:rPr>
        <w:rFonts w:ascii="Myriad Pro" w:hAnsi="Myriad Pro"/>
        <w:sz w:val="20"/>
        <w:szCs w:val="22"/>
      </w:rPr>
    </w:pPr>
    <w:r>
      <w:rPr>
        <w:rFonts w:ascii="Myriad Pro" w:hAnsi="Myriad Pro"/>
        <w:noProof/>
        <w:sz w:val="20"/>
        <w:szCs w:val="22"/>
      </w:rPr>
      <w:drawing>
        <wp:anchor distT="0" distB="0" distL="114300" distR="114300" simplePos="0" relativeHeight="251663360" behindDoc="0" locked="0" layoutInCell="1" allowOverlap="1" wp14:anchorId="4CB91812" wp14:editId="4439EB97">
          <wp:simplePos x="0" y="0"/>
          <wp:positionH relativeFrom="margin">
            <wp:posOffset>-1905</wp:posOffset>
          </wp:positionH>
          <wp:positionV relativeFrom="paragraph">
            <wp:posOffset>-55608</wp:posOffset>
          </wp:positionV>
          <wp:extent cx="6115050" cy="79375"/>
          <wp:effectExtent l="0" t="0" r="0" b="0"/>
          <wp:wrapThrough wrapText="bothSides">
            <wp:wrapPolygon edited="0">
              <wp:start x="0" y="0"/>
              <wp:lineTo x="0" y="15552"/>
              <wp:lineTo x="21533" y="15552"/>
              <wp:lineTo x="215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9375"/>
                  </a:xfrm>
                  <a:prstGeom prst="rect">
                    <a:avLst/>
                  </a:prstGeom>
                  <a:noFill/>
                </pic:spPr>
              </pic:pic>
            </a:graphicData>
          </a:graphic>
        </wp:anchor>
      </w:drawing>
    </w:r>
    <w:r w:rsidR="00DD571C">
      <w:rPr>
        <w:rFonts w:ascii="Myriad Pro" w:hAnsi="Myriad Pro"/>
        <w:sz w:val="20"/>
        <w:szCs w:val="22"/>
      </w:rPr>
      <w:t>Macedonian Young Lawyers Association</w:t>
    </w:r>
  </w:p>
  <w:p w14:paraId="03C48758" w14:textId="65780F13" w:rsidR="004A4807" w:rsidRPr="000F44DA" w:rsidRDefault="0BE897C1" w:rsidP="000F44DA">
    <w:pPr>
      <w:pStyle w:val="Footer"/>
      <w:jc w:val="center"/>
      <w:rPr>
        <w:rFonts w:ascii="Myriad Pro" w:hAnsi="Myriad Pro"/>
        <w:sz w:val="20"/>
        <w:szCs w:val="20"/>
        <w:lang w:val="mk-MK"/>
      </w:rPr>
    </w:pPr>
    <w:r w:rsidRPr="0BE897C1">
      <w:rPr>
        <w:rFonts w:ascii="Myriad Pro" w:hAnsi="Myriad Pro"/>
        <w:sz w:val="20"/>
        <w:szCs w:val="20"/>
        <w:lang w:val="mk-MK"/>
      </w:rPr>
      <w:t xml:space="preserve">address: </w:t>
    </w:r>
    <w:r w:rsidRPr="0BE897C1">
      <w:rPr>
        <w:rFonts w:ascii="Myriad Pro" w:hAnsi="Myriad Pro"/>
        <w:sz w:val="20"/>
        <w:szCs w:val="20"/>
      </w:rPr>
      <w:t>Donbas</w:t>
    </w:r>
    <w:r w:rsidRPr="0BE897C1">
      <w:rPr>
        <w:rFonts w:ascii="Myriad Pro" w:hAnsi="Myriad Pro"/>
        <w:sz w:val="20"/>
        <w:szCs w:val="20"/>
        <w:lang w:val="mk-MK"/>
      </w:rPr>
      <w:t xml:space="preserve"> </w:t>
    </w:r>
    <w:r w:rsidRPr="0BE897C1">
      <w:rPr>
        <w:rFonts w:ascii="Myriad Pro" w:hAnsi="Myriad Pro"/>
        <w:sz w:val="20"/>
        <w:szCs w:val="20"/>
      </w:rPr>
      <w:t>No</w:t>
    </w:r>
    <w:r w:rsidRPr="0BE897C1">
      <w:rPr>
        <w:rFonts w:ascii="Myriad Pro" w:hAnsi="Myriad Pro"/>
        <w:sz w:val="20"/>
        <w:szCs w:val="20"/>
        <w:lang w:val="mk-MK"/>
      </w:rPr>
      <w:t xml:space="preserve">.14/6 </w:t>
    </w:r>
    <w:r w:rsidRPr="0BE897C1">
      <w:rPr>
        <w:rFonts w:ascii="Myriad Pro" w:hAnsi="Myriad Pro"/>
        <w:sz w:val="20"/>
        <w:szCs w:val="20"/>
      </w:rPr>
      <w:t>Skopje</w:t>
    </w:r>
    <w:r w:rsidRPr="0BE897C1">
      <w:rPr>
        <w:rFonts w:ascii="Myriad Pro" w:hAnsi="Myriad Pro"/>
        <w:sz w:val="20"/>
        <w:szCs w:val="20"/>
        <w:lang w:val="mk-MK"/>
      </w:rPr>
      <w:t xml:space="preserve">    phone: +38972223963    е-mail: contact@myla.org.mk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6663" w14:textId="77777777" w:rsidR="003C2740" w:rsidRDefault="003C2740" w:rsidP="000F44DA">
      <w:r>
        <w:separator/>
      </w:r>
    </w:p>
  </w:footnote>
  <w:footnote w:type="continuationSeparator" w:id="0">
    <w:p w14:paraId="6FAF5753" w14:textId="77777777" w:rsidR="003C2740" w:rsidRDefault="003C2740" w:rsidP="000F44DA">
      <w:r>
        <w:continuationSeparator/>
      </w:r>
    </w:p>
  </w:footnote>
  <w:footnote w:id="1">
    <w:p w14:paraId="02766C5B" w14:textId="77777777" w:rsidR="007C0DB3" w:rsidRPr="00B9585E" w:rsidRDefault="007C0DB3" w:rsidP="007C0DB3">
      <w:pPr>
        <w:pStyle w:val="FootnoteText"/>
        <w:rPr>
          <w:rFonts w:ascii="Cambria" w:hAnsi="Cambria"/>
        </w:rPr>
      </w:pPr>
      <w:r w:rsidRPr="00B9585E">
        <w:rPr>
          <w:rStyle w:val="FootnoteReference"/>
          <w:rFonts w:ascii="Cambria" w:hAnsi="Cambria"/>
        </w:rPr>
        <w:footnoteRef/>
      </w:r>
      <w:r w:rsidRPr="00B9585E">
        <w:rPr>
          <w:rFonts w:ascii="Cambria" w:hAnsi="Cambria"/>
        </w:rPr>
        <w:t xml:space="preserve"> Established and protected under article 43 of the Constitution of the Republic of North Macedonia</w:t>
      </w:r>
    </w:p>
  </w:footnote>
  <w:footnote w:id="2">
    <w:p w14:paraId="142792EA" w14:textId="77777777" w:rsidR="007C0DB3" w:rsidRPr="00B9585E" w:rsidRDefault="007C0DB3" w:rsidP="007C0DB3">
      <w:pPr>
        <w:pStyle w:val="FootnoteText"/>
        <w:rPr>
          <w:rFonts w:ascii="Cambria" w:hAnsi="Cambria"/>
        </w:rPr>
      </w:pPr>
      <w:r w:rsidRPr="00B9585E">
        <w:rPr>
          <w:rStyle w:val="FootnoteReference"/>
          <w:rFonts w:ascii="Cambria" w:hAnsi="Cambria"/>
        </w:rPr>
        <w:footnoteRef/>
      </w:r>
      <w:r w:rsidRPr="00B9585E">
        <w:rPr>
          <w:rFonts w:ascii="Cambria" w:hAnsi="Cambria"/>
        </w:rPr>
        <w:t xml:space="preserve"> Established under article 24 of the Law on environment</w:t>
      </w:r>
    </w:p>
  </w:footnote>
  <w:footnote w:id="3">
    <w:p w14:paraId="4D3BD9CB" w14:textId="77777777" w:rsidR="007C0DB3" w:rsidRPr="00B46FAE" w:rsidRDefault="007C0DB3" w:rsidP="007C0DB3">
      <w:pPr>
        <w:pStyle w:val="FootnoteText"/>
        <w:jc w:val="both"/>
        <w:rPr>
          <w:rFonts w:ascii="Cambria" w:hAnsi="Cambria"/>
        </w:rPr>
      </w:pPr>
      <w:r w:rsidRPr="00B46FAE">
        <w:rPr>
          <w:rStyle w:val="FootnoteReference"/>
          <w:rFonts w:ascii="Cambria" w:hAnsi="Cambria"/>
        </w:rPr>
        <w:footnoteRef/>
      </w:r>
      <w:r w:rsidRPr="00B46FAE">
        <w:rPr>
          <w:rFonts w:ascii="Cambria" w:hAnsi="Cambria"/>
        </w:rPr>
        <w:t xml:space="preserve"> ANALYSIS of the Operation of Small Hydropower Plants, Macedonian Young Lawyers Association, page 154, available on: </w:t>
      </w:r>
      <w:hyperlink r:id="rId1" w:history="1">
        <w:r w:rsidRPr="00B46FAE">
          <w:rPr>
            <w:rStyle w:val="Hyperlink"/>
            <w:rFonts w:ascii="Cambria" w:hAnsi="Cambria"/>
          </w:rPr>
          <w:t>https://myla.org.mk/wp-content/uploads/2022/07/Analysis-of-the-operation-of-small-hydropower-plants.pdf</w:t>
        </w:r>
      </w:hyperlink>
      <w:r w:rsidRPr="00B46FAE">
        <w:rPr>
          <w:rFonts w:ascii="Cambria" w:hAnsi="Cambria"/>
        </w:rPr>
        <w:t xml:space="preserve"> </w:t>
      </w:r>
    </w:p>
  </w:footnote>
  <w:footnote w:id="4">
    <w:p w14:paraId="0C1F1B35" w14:textId="77777777" w:rsidR="007C0DB3" w:rsidRPr="00B46FAE" w:rsidRDefault="007C0DB3" w:rsidP="007C0DB3">
      <w:pPr>
        <w:pStyle w:val="FootnoteText"/>
        <w:jc w:val="both"/>
        <w:rPr>
          <w:rFonts w:ascii="Cambria" w:hAnsi="Cambria"/>
        </w:rPr>
      </w:pPr>
      <w:r w:rsidRPr="00B46FAE">
        <w:rPr>
          <w:rStyle w:val="FootnoteReference"/>
          <w:rFonts w:ascii="Cambria" w:hAnsi="Cambria"/>
        </w:rPr>
        <w:footnoteRef/>
      </w:r>
      <w:r w:rsidRPr="00B46FAE">
        <w:rPr>
          <w:rFonts w:ascii="Cambria" w:hAnsi="Cambria"/>
        </w:rPr>
        <w:t xml:space="preserve"> In </w:t>
      </w:r>
      <w:proofErr w:type="gramStart"/>
      <w:r w:rsidRPr="00B46FAE">
        <w:rPr>
          <w:rFonts w:ascii="Cambria" w:hAnsi="Cambria"/>
        </w:rPr>
        <w:t>general</w:t>
      </w:r>
      <w:proofErr w:type="gramEnd"/>
      <w:r w:rsidRPr="00B46FAE">
        <w:rPr>
          <w:rFonts w:ascii="Cambria" w:hAnsi="Cambria"/>
        </w:rPr>
        <w:t xml:space="preserve"> </w:t>
      </w:r>
      <w:proofErr w:type="spellStart"/>
      <w:r w:rsidRPr="00B46FAE">
        <w:rPr>
          <w:rFonts w:ascii="Cambria" w:hAnsi="Cambria"/>
        </w:rPr>
        <w:t>MoEPP</w:t>
      </w:r>
      <w:proofErr w:type="spellEnd"/>
      <w:r w:rsidRPr="00B46FAE">
        <w:rPr>
          <w:rFonts w:ascii="Cambria" w:hAnsi="Cambria"/>
        </w:rPr>
        <w:t xml:space="preserve"> approves environmental reports for larger scale projects and for projects within protected areas, while municipalities approve environmental reports for smaller scale projects</w:t>
      </w:r>
    </w:p>
  </w:footnote>
  <w:footnote w:id="5">
    <w:p w14:paraId="20637515" w14:textId="77777777" w:rsidR="007C0DB3" w:rsidRPr="00B46FAE" w:rsidRDefault="007C0DB3" w:rsidP="007C0DB3">
      <w:pPr>
        <w:pStyle w:val="FootnoteText"/>
        <w:jc w:val="both"/>
        <w:rPr>
          <w:rFonts w:ascii="Cambria" w:hAnsi="Cambria"/>
        </w:rPr>
      </w:pPr>
      <w:r w:rsidRPr="00B46FAE">
        <w:rPr>
          <w:rStyle w:val="FootnoteReference"/>
          <w:rFonts w:ascii="Cambria" w:hAnsi="Cambria"/>
        </w:rPr>
        <w:footnoteRef/>
      </w:r>
      <w:r w:rsidRPr="00B46FAE">
        <w:rPr>
          <w:rFonts w:ascii="Cambria" w:hAnsi="Cambria"/>
        </w:rPr>
        <w:t xml:space="preserve"> MYLA initiated a case before the Constitutional Court claiming that conflict between these two types of ordinances harms legal certainty, rule of law, environmental protection and the right to a healthy environment and is contrary to the article 6 of the Aarhus convention, thus unconstitutional, however the Court rejected the initiative claiming it doesn’t have jurisdiction to assess conflict between legal acts of the same level in the legal hierarchy, nor to assess conflict of domestic with international legislation. More information on: </w:t>
      </w:r>
      <w:hyperlink r:id="rId2" w:history="1">
        <w:r w:rsidRPr="00B46FAE">
          <w:rPr>
            <w:rStyle w:val="Hyperlink"/>
            <w:rFonts w:ascii="Cambria" w:hAnsi="Cambria"/>
          </w:rPr>
          <w:t>https://myla.org.mk/50769/</w:t>
        </w:r>
      </w:hyperlink>
      <w:r w:rsidRPr="00B46FAE">
        <w:rPr>
          <w:rFonts w:ascii="Cambria" w:hAnsi="Cambria"/>
        </w:rPr>
        <w:t xml:space="preserve"> </w:t>
      </w:r>
    </w:p>
  </w:footnote>
  <w:footnote w:id="6">
    <w:p w14:paraId="228F5C48" w14:textId="77777777" w:rsidR="007C0DB3" w:rsidRPr="00553A81" w:rsidRDefault="007C0DB3" w:rsidP="007C0DB3">
      <w:pPr>
        <w:pStyle w:val="FootnoteText"/>
        <w:jc w:val="both"/>
        <w:rPr>
          <w:rFonts w:ascii="Cambria" w:hAnsi="Cambria"/>
        </w:rPr>
      </w:pPr>
      <w:r w:rsidRPr="00553A81">
        <w:rPr>
          <w:rStyle w:val="FootnoteReference"/>
          <w:rFonts w:ascii="Cambria" w:hAnsi="Cambria"/>
        </w:rPr>
        <w:footnoteRef/>
      </w:r>
      <w:r w:rsidRPr="00553A81">
        <w:rPr>
          <w:rFonts w:ascii="Cambria" w:hAnsi="Cambria"/>
        </w:rPr>
        <w:t xml:space="preserve"> The finding is based on MYLA’s research and review of environmental report related to a SHPP project in a village in the east part of the country</w:t>
      </w:r>
    </w:p>
  </w:footnote>
  <w:footnote w:id="7">
    <w:p w14:paraId="70D3EBBA" w14:textId="77777777" w:rsidR="007C0DB3" w:rsidRPr="00553A81" w:rsidRDefault="007C0DB3" w:rsidP="007C0DB3">
      <w:pPr>
        <w:pStyle w:val="FootnoteText"/>
        <w:jc w:val="both"/>
        <w:rPr>
          <w:rFonts w:ascii="Cambria" w:hAnsi="Cambria"/>
        </w:rPr>
      </w:pPr>
      <w:r w:rsidRPr="00553A81">
        <w:rPr>
          <w:rStyle w:val="FootnoteReference"/>
          <w:rFonts w:ascii="Cambria" w:hAnsi="Cambria"/>
        </w:rPr>
        <w:footnoteRef/>
      </w:r>
      <w:r w:rsidRPr="00553A81">
        <w:rPr>
          <w:rFonts w:ascii="Cambria" w:hAnsi="Cambria"/>
        </w:rPr>
        <w:t xml:space="preserve"> Articles 76-94 from the Law on environment</w:t>
      </w:r>
    </w:p>
  </w:footnote>
  <w:footnote w:id="8">
    <w:p w14:paraId="0D0739E8" w14:textId="77777777" w:rsidR="007C0DB3" w:rsidRPr="00553A81" w:rsidRDefault="007C0DB3" w:rsidP="007C0DB3">
      <w:pPr>
        <w:pStyle w:val="FootnoteText"/>
        <w:jc w:val="both"/>
        <w:rPr>
          <w:rFonts w:ascii="Cambria" w:hAnsi="Cambria"/>
        </w:rPr>
      </w:pPr>
      <w:r w:rsidRPr="00553A81">
        <w:rPr>
          <w:rStyle w:val="FootnoteReference"/>
          <w:rFonts w:ascii="Cambria" w:hAnsi="Cambria"/>
        </w:rPr>
        <w:footnoteRef/>
      </w:r>
      <w:r w:rsidRPr="00553A81">
        <w:rPr>
          <w:rFonts w:ascii="Cambria" w:hAnsi="Cambria"/>
        </w:rPr>
        <w:t xml:space="preserve"> Article 90 of the Law on environment specifies that a notification should be prepared and published when specific document is published</w:t>
      </w:r>
    </w:p>
  </w:footnote>
  <w:footnote w:id="9">
    <w:p w14:paraId="69452C28" w14:textId="77777777" w:rsidR="007C0DB3" w:rsidRPr="00553A81" w:rsidRDefault="007C0DB3" w:rsidP="007C0DB3">
      <w:pPr>
        <w:pStyle w:val="FootnoteText"/>
        <w:jc w:val="both"/>
        <w:rPr>
          <w:rFonts w:ascii="Cambria" w:hAnsi="Cambria"/>
        </w:rPr>
      </w:pPr>
      <w:r w:rsidRPr="00553A81">
        <w:rPr>
          <w:rStyle w:val="FootnoteReference"/>
          <w:rFonts w:ascii="Cambria" w:hAnsi="Cambria"/>
        </w:rPr>
        <w:footnoteRef/>
      </w:r>
      <w:r w:rsidRPr="00553A81">
        <w:rPr>
          <w:rFonts w:ascii="Cambria" w:hAnsi="Cambria"/>
        </w:rPr>
        <w:t xml:space="preserve"> Article 86 of the Law on environment specifies that the report whether the EIA study fulfills the standards should take into considerations the received comments. On the other hand, article 83 specifies that the when the investor submits the EIA study to the </w:t>
      </w:r>
      <w:proofErr w:type="spellStart"/>
      <w:r w:rsidRPr="00553A81">
        <w:rPr>
          <w:rFonts w:ascii="Cambria" w:hAnsi="Cambria"/>
        </w:rPr>
        <w:t>MoEPP</w:t>
      </w:r>
      <w:proofErr w:type="spellEnd"/>
      <w:r w:rsidRPr="00553A81">
        <w:rPr>
          <w:rFonts w:ascii="Cambria" w:hAnsi="Cambria"/>
        </w:rPr>
        <w:t>, it checks whether it fulfills the criteria set in the legislation and may return it to the investor for improvements in case it detects that certain criteria are not met, leaving him a deadline for the improvements, while the EIA study is published only when these improvements are made. The same article 83 specifies that consultative process begins from the moment the EIA study is published.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5000" w14:textId="11E686DF" w:rsidR="003B4A7A" w:rsidRDefault="00DD571C" w:rsidP="000F44DA">
    <w:pPr>
      <w:pStyle w:val="BodyB"/>
    </w:pPr>
    <w:r>
      <w:rPr>
        <w:noProof/>
        <w14:textOutline w14:w="0" w14:cap="rnd" w14:cmpd="sng" w14:algn="ctr">
          <w14:noFill/>
          <w14:prstDash w14:val="solid"/>
          <w14:bevel/>
        </w14:textOutline>
      </w:rPr>
      <w:drawing>
        <wp:anchor distT="0" distB="0" distL="114300" distR="114300" simplePos="0" relativeHeight="251658239" behindDoc="0" locked="0" layoutInCell="1" allowOverlap="1" wp14:anchorId="3F72F925" wp14:editId="38C72578">
          <wp:simplePos x="0" y="0"/>
          <wp:positionH relativeFrom="column">
            <wp:posOffset>-247650</wp:posOffset>
          </wp:positionH>
          <wp:positionV relativeFrom="paragraph">
            <wp:posOffset>-312420</wp:posOffset>
          </wp:positionV>
          <wp:extent cx="2089785" cy="1175385"/>
          <wp:effectExtent l="0" t="0" r="571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YLA_logo_horizontal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9785" cy="1175385"/>
                  </a:xfrm>
                  <a:prstGeom prst="rect">
                    <a:avLst/>
                  </a:prstGeom>
                </pic:spPr>
              </pic:pic>
            </a:graphicData>
          </a:graphic>
          <wp14:sizeRelH relativeFrom="margin">
            <wp14:pctWidth>0</wp14:pctWidth>
          </wp14:sizeRelH>
          <wp14:sizeRelV relativeFrom="margin">
            <wp14:pctHeight>0</wp14:pctHeight>
          </wp14:sizeRelV>
        </wp:anchor>
      </w:drawing>
    </w:r>
    <w:r w:rsidR="00E47910">
      <w:rPr>
        <w:noProof/>
        <w14:textOutline w14:w="0" w14:cap="rnd" w14:cmpd="sng" w14:algn="ctr">
          <w14:noFill/>
          <w14:prstDash w14:val="solid"/>
          <w14:bevel/>
        </w14:textOutline>
      </w:rPr>
      <w:drawing>
        <wp:anchor distT="0" distB="0" distL="114300" distR="114300" simplePos="0" relativeHeight="251661312" behindDoc="0" locked="0" layoutInCell="1" allowOverlap="1" wp14:anchorId="4ECBD7FD" wp14:editId="4741B86B">
          <wp:simplePos x="0" y="0"/>
          <wp:positionH relativeFrom="column">
            <wp:posOffset>4463303</wp:posOffset>
          </wp:positionH>
          <wp:positionV relativeFrom="paragraph">
            <wp:posOffset>-228600</wp:posOffset>
          </wp:positionV>
          <wp:extent cx="2179320" cy="239395"/>
          <wp:effectExtent l="0" t="0" r="0" b="8255"/>
          <wp:wrapThrough wrapText="bothSides">
            <wp:wrapPolygon edited="0">
              <wp:start x="0" y="0"/>
              <wp:lineTo x="0" y="20626"/>
              <wp:lineTo x="21336" y="20626"/>
              <wp:lineTo x="2133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79320" cy="23939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035C3"/>
    <w:multiLevelType w:val="hybridMultilevel"/>
    <w:tmpl w:val="C0FC1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5C3F54"/>
    <w:multiLevelType w:val="hybridMultilevel"/>
    <w:tmpl w:val="869A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19788">
    <w:abstractNumId w:val="0"/>
  </w:num>
  <w:num w:numId="2" w16cid:durableId="175925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7A"/>
    <w:rsid w:val="000F44DA"/>
    <w:rsid w:val="001E746C"/>
    <w:rsid w:val="001F4988"/>
    <w:rsid w:val="00243CF8"/>
    <w:rsid w:val="003B4A7A"/>
    <w:rsid w:val="003C2740"/>
    <w:rsid w:val="003C57D2"/>
    <w:rsid w:val="004A4807"/>
    <w:rsid w:val="004E166E"/>
    <w:rsid w:val="00553FC4"/>
    <w:rsid w:val="005649D1"/>
    <w:rsid w:val="00610176"/>
    <w:rsid w:val="007C0DB3"/>
    <w:rsid w:val="00857474"/>
    <w:rsid w:val="00915C5C"/>
    <w:rsid w:val="009D275D"/>
    <w:rsid w:val="00A02653"/>
    <w:rsid w:val="00A15ED4"/>
    <w:rsid w:val="00CA1342"/>
    <w:rsid w:val="00D4765E"/>
    <w:rsid w:val="00DD571C"/>
    <w:rsid w:val="00E47910"/>
    <w:rsid w:val="00F16BFF"/>
    <w:rsid w:val="0BE89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59B5B"/>
  <w15:docId w15:val="{52E1DC92-343D-4E81-9287-F7621FE4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4A4807"/>
    <w:pPr>
      <w:tabs>
        <w:tab w:val="center" w:pos="4680"/>
        <w:tab w:val="right" w:pos="9360"/>
      </w:tabs>
    </w:pPr>
  </w:style>
  <w:style w:type="character" w:customStyle="1" w:styleId="HeaderChar">
    <w:name w:val="Header Char"/>
    <w:basedOn w:val="DefaultParagraphFont"/>
    <w:link w:val="Header"/>
    <w:uiPriority w:val="99"/>
    <w:rsid w:val="004A4807"/>
    <w:rPr>
      <w:sz w:val="24"/>
      <w:szCs w:val="24"/>
    </w:rPr>
  </w:style>
  <w:style w:type="paragraph" w:styleId="Footer">
    <w:name w:val="footer"/>
    <w:basedOn w:val="Normal"/>
    <w:link w:val="FooterChar"/>
    <w:uiPriority w:val="99"/>
    <w:unhideWhenUsed/>
    <w:rsid w:val="004A4807"/>
    <w:pPr>
      <w:tabs>
        <w:tab w:val="center" w:pos="4680"/>
        <w:tab w:val="right" w:pos="9360"/>
      </w:tabs>
    </w:pPr>
  </w:style>
  <w:style w:type="character" w:customStyle="1" w:styleId="FooterChar">
    <w:name w:val="Footer Char"/>
    <w:basedOn w:val="DefaultParagraphFont"/>
    <w:link w:val="Footer"/>
    <w:uiPriority w:val="99"/>
    <w:rsid w:val="004A4807"/>
    <w:rPr>
      <w:sz w:val="24"/>
      <w:szCs w:val="24"/>
    </w:rPr>
  </w:style>
  <w:style w:type="paragraph" w:styleId="BalloonText">
    <w:name w:val="Balloon Text"/>
    <w:basedOn w:val="Normal"/>
    <w:link w:val="BalloonTextChar"/>
    <w:uiPriority w:val="99"/>
    <w:semiHidden/>
    <w:unhideWhenUsed/>
    <w:rsid w:val="0085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74"/>
    <w:rPr>
      <w:rFonts w:ascii="Segoe UI" w:hAnsi="Segoe UI" w:cs="Segoe UI"/>
      <w:sz w:val="18"/>
      <w:szCs w:val="18"/>
    </w:rPr>
  </w:style>
  <w:style w:type="paragraph" w:styleId="FootnoteText">
    <w:name w:val="footnote text"/>
    <w:basedOn w:val="Normal"/>
    <w:link w:val="FootnoteTextChar"/>
    <w:uiPriority w:val="99"/>
    <w:semiHidden/>
    <w:unhideWhenUsed/>
    <w:rsid w:val="007C0DB3"/>
    <w:rPr>
      <w:sz w:val="20"/>
      <w:szCs w:val="20"/>
    </w:rPr>
  </w:style>
  <w:style w:type="character" w:customStyle="1" w:styleId="FootnoteTextChar">
    <w:name w:val="Footnote Text Char"/>
    <w:basedOn w:val="DefaultParagraphFont"/>
    <w:link w:val="FootnoteText"/>
    <w:uiPriority w:val="99"/>
    <w:semiHidden/>
    <w:rsid w:val="007C0DB3"/>
  </w:style>
  <w:style w:type="character" w:styleId="FootnoteReference">
    <w:name w:val="footnote reference"/>
    <w:basedOn w:val="DefaultParagraphFont"/>
    <w:uiPriority w:val="99"/>
    <w:semiHidden/>
    <w:unhideWhenUsed/>
    <w:rsid w:val="007C0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myla.org.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myla.org.mk/50769/" TargetMode="External"/><Relationship Id="rId1" Type="http://schemas.openxmlformats.org/officeDocument/2006/relationships/hyperlink" Target="https://myla.org.mk/wp-content/uploads/2022/07/Analysis-of-the-operation-of-small-hydropower-plant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2196</Words>
  <Characters>11859</Characters>
  <Application>Microsoft Office Word</Application>
  <DocSecurity>0</DocSecurity>
  <Lines>197</Lines>
  <Paragraphs>77</Paragraphs>
  <ScaleCrop>false</ScaleCrop>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Dushica  Nofitoska</dc:creator>
  <cp:lastModifiedBy>Myla MK</cp:lastModifiedBy>
  <cp:revision>5</cp:revision>
  <cp:lastPrinted>2021-12-23T11:08:00Z</cp:lastPrinted>
  <dcterms:created xsi:type="dcterms:W3CDTF">2021-12-23T11:54:00Z</dcterms:created>
  <dcterms:modified xsi:type="dcterms:W3CDTF">2025-04-15T19:28:00Z</dcterms:modified>
</cp:coreProperties>
</file>